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73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宋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宋体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宋体"/>
          <w:spacing w:val="0"/>
          <w:sz w:val="44"/>
          <w:szCs w:val="44"/>
        </w:rPr>
        <w:t>年“豫红博爱救助计划”公益项目</w:t>
      </w:r>
      <w:r>
        <w:rPr>
          <w:rFonts w:hint="eastAsia" w:ascii="方正小标宋简体" w:hAnsi="方正小标宋简体" w:eastAsia="方正小标宋简体" w:cs="宋体"/>
          <w:spacing w:val="0"/>
          <w:sz w:val="44"/>
          <w:szCs w:val="44"/>
          <w:lang w:val="en-US" w:eastAsia="zh-CN"/>
        </w:rPr>
        <w:t>拟救助对象名单（第四批）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57" w:tblpY="996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05D8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8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5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8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F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8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9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D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45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734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FE2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昌晓飞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264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388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内乡县大桥乡堰庄村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44B3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于2024年3月确诊为恶性淋巴瘤，截至目前化疗、放疗等医疗费用已高达17万余元。昌晓飞一家三口人，儿子3岁，妻子因需跟随照顾，目前也没有工作，全家目前基本没有稳定经济收入。患病以后丧失劳动力，多次住院花费巨大，后续长期服药，家庭无力承担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7C6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4E0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82C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0CB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C16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孙丽娜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3A9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C30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内乡县灌涨镇前湾村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7C9A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2023年11月因多发性骨髓瘤(恶性肿瘤)，骨髓瘤肾病，肾性贫血在南阳市第二人民医院住院,每月一次去化疗治疗，后续还要长期治疗及服用药物。</w:t>
            </w:r>
            <w:r>
              <w:rPr>
                <w:rFonts w:hint="eastAsia" w:eastAsia="宋体"/>
                <w:sz w:val="21"/>
                <w:lang w:val="en-US" w:eastAsia="zh-CN"/>
              </w:rPr>
              <w:t>孙丽娜丈夫患肾病综合征，外加左腿骨折，丧失劳动能力。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经济特别困难。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7E9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C77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48C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4B0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E16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周进均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CEA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7ED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内乡县大桥乡大周村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B9C3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周进均于2024年4月20日突发疾病.住院做手术花费20多万元、二人育有两个儿子大儿子现年24岁，肢体残疾二级.语言不清，二儿子20岁大专毕业在安徽实习。患病以来基本</w:t>
            </w:r>
            <w:r>
              <w:rPr>
                <w:rFonts w:hint="eastAsia" w:eastAsia="宋体"/>
                <w:sz w:val="21"/>
                <w:lang w:val="en-US" w:eastAsia="zh-CN"/>
              </w:rPr>
              <w:t>丧失劳动能力，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经济来源实属困难、家庭无力承担，经济比较困难。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830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C84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566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3D2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890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王红柳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D91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CF4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内乡县马山口镇唐河村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9485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红柳，2024年5月在河南省人民医院确诊为胃恶性肿瘤和贲门恶性肿瘤。每月需去医院化疗一次，化疗4次，8月份肿瘤复发，在省人民医院做手术治疗。术后每月去郑州治疗两次。还要长期治疗、服用药物。王红柳妻子在家务农，长期做家务和照料护理病人。其儿子2024年元月在乡镇医院上班，每月工资1200元。王红柳患病后丧失劳动能力。后续长期治疗、服用药物开支很大，家庭无能力承担，造成家庭经济极度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F22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3B0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D72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B35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925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朱学义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42C4B">
            <w:pPr>
              <w:jc w:val="center"/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78603">
            <w:pPr>
              <w:jc w:val="center"/>
            </w:pPr>
            <w:r>
              <w:rPr>
                <w:rFonts w:hint="eastAsia" w:eastAsia="宋体"/>
                <w:sz w:val="21"/>
                <w:lang w:val="en-US" w:eastAsia="zh-CN"/>
              </w:rPr>
              <w:t>内乡县赤眉镇夹道村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743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2012年朱学义身患多种疾病,到处求医,直至2013年在南阳市中心医院诊断为骨髓腔发炎,抽检送武汉确诊为骨髓腔癌,后经治疗,有所好转,每年还要去南阳复诊住院治疗两个疗程.后继仍要长期治疗,服用药物.朱学义妻子在家务农,大儿子虽在外打工,月收入仅3000多元,且已30岁开外,正值婚龄.二儿子上高二,花费开支很大.还有86岁的老母亲,也身患多种疾病.朱学义患病以后丧失劳动力,后续长期治疗,服用药物费用开支很大,家庭无力承受巨大的经济负担,实属特别困难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80D1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2A0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141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5A582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9E135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合计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783AD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D6BAE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FC4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14D6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13500元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07C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6F66B26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F79153F"/>
    <w:rsid w:val="16F13065"/>
    <w:rsid w:val="25CB6528"/>
    <w:rsid w:val="28436EEA"/>
    <w:rsid w:val="2F5051AF"/>
    <w:rsid w:val="37AD406A"/>
    <w:rsid w:val="39340274"/>
    <w:rsid w:val="522C005C"/>
    <w:rsid w:val="52EF06B7"/>
    <w:rsid w:val="59AF6F99"/>
    <w:rsid w:val="67F44A62"/>
    <w:rsid w:val="69B22286"/>
    <w:rsid w:val="6E645F3C"/>
    <w:rsid w:val="793B5DD9"/>
    <w:rsid w:val="7DC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1179</Words>
  <Characters>1267</Characters>
  <Lines>0</Lines>
  <Paragraphs>0</Paragraphs>
  <TotalTime>0</TotalTime>
  <ScaleCrop>false</ScaleCrop>
  <LinksUpToDate>false</LinksUpToDate>
  <CharactersWithSpaces>1301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2024-09-12T08:18:00Z</cp:lastPrinted>
  <dcterms:modified xsi:type="dcterms:W3CDTF">2024-11-11T07:54:45Z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7FE7704865EA412D9AD648C6EAD39956_13</vt:lpwstr>
  </property>
</Properties>
</file>